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0B6B" w:rsidRDefault="009A0B6B">
      <w:pPr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970"/>
      </w:tblGrid>
      <w:tr w:rsidR="009A0B6B">
        <w:trPr>
          <w:trHeight w:val="3440"/>
        </w:trPr>
        <w:tc>
          <w:tcPr>
            <w:tcW w:w="4290" w:type="dxa"/>
            <w:tcBorders>
              <w:top w:val="nil"/>
              <w:left w:val="nil"/>
              <w:bottom w:val="nil"/>
              <w:right w:val="single" w:sz="4" w:space="0" w:color="009E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9" w:type="dxa"/>
            </w:tcMar>
          </w:tcPr>
          <w:p w:rsidR="009A0B6B" w:rsidRDefault="00897B3B">
            <w:pPr>
              <w:spacing w:after="200" w:line="276" w:lineRule="auto"/>
              <w:ind w:righ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Zoo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</w:rPr>
              <w:t>ontrol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9A0B6B" w:rsidRDefault="00897B3B">
            <w:pPr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67, 370 01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Budějovice</w:t>
            </w:r>
            <w:proofErr w:type="spellEnd"/>
          </w:p>
          <w:p w:rsidR="009A0B6B" w:rsidRDefault="00897B3B">
            <w:pPr>
              <w:tabs>
                <w:tab w:val="left" w:pos="1701"/>
              </w:tabs>
              <w:spacing w:before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05766656</w:t>
            </w:r>
          </w:p>
          <w:p w:rsidR="009A0B6B" w:rsidRDefault="00897B3B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CZ05766656</w:t>
            </w:r>
          </w:p>
          <w:p w:rsidR="009A0B6B" w:rsidRDefault="00897B3B">
            <w:pPr>
              <w:tabs>
                <w:tab w:val="left" w:pos="1701"/>
              </w:tabs>
              <w:ind w:left="1700" w:right="121" w:hanging="17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Jiří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Malecha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A0B6B" w:rsidRDefault="00897B3B">
            <w:pPr>
              <w:tabs>
                <w:tab w:val="left" w:pos="1701"/>
              </w:tabs>
              <w:ind w:left="1700" w:right="121" w:hanging="17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hyperlink r:id="rId7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podpora@gosms.cz</w:t>
              </w:r>
            </w:hyperlink>
          </w:p>
          <w:p w:rsidR="009A0B6B" w:rsidRDefault="00897B3B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+420 380 422 242</w:t>
            </w:r>
          </w:p>
          <w:p w:rsidR="009A0B6B" w:rsidRDefault="00897B3B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Číslo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účtu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02020"/>
                <w:sz w:val="20"/>
                <w:szCs w:val="20"/>
                <w:highlight w:val="white"/>
              </w:rPr>
              <w:t>2401621958/2010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Banka)</w:t>
            </w:r>
          </w:p>
          <w:p w:rsidR="009A0B6B" w:rsidRDefault="00897B3B">
            <w:pPr>
              <w:spacing w:before="120" w:after="120"/>
              <w:ind w:right="121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zapsána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Obchodním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rejstříku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vedeném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u 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Českých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Budějovicích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od 1.2.2017,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spisová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značka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C.25800</w:t>
            </w:r>
          </w:p>
          <w:p w:rsidR="009A0B6B" w:rsidRDefault="00897B3B">
            <w:pPr>
              <w:spacing w:before="120" w:after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Poskytovatel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</w:tc>
        <w:tc>
          <w:tcPr>
            <w:tcW w:w="5970" w:type="dxa"/>
            <w:tcBorders>
              <w:top w:val="nil"/>
              <w:left w:val="single" w:sz="4" w:space="0" w:color="009EE7"/>
              <w:bottom w:val="nil"/>
              <w:right w:val="nil"/>
            </w:tcBorders>
            <w:shd w:val="clear" w:color="auto" w:fill="FFFFFF"/>
            <w:tcMar>
              <w:top w:w="80" w:type="dxa"/>
              <w:left w:w="168" w:type="dxa"/>
              <w:bottom w:w="80" w:type="dxa"/>
              <w:right w:w="255" w:type="dxa"/>
            </w:tcMar>
          </w:tcPr>
          <w:p w:rsidR="009A0B6B" w:rsidRDefault="00897B3B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Zákazník</w:t>
            </w:r>
            <w:proofErr w:type="spellEnd"/>
          </w:p>
          <w:p w:rsidR="009A0B6B" w:rsidRDefault="00897B3B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b w:val="0"/>
                <w:color w:val="00000A"/>
                <w:sz w:val="34"/>
                <w:szCs w:val="34"/>
                <w:highlight w:val="white"/>
              </w:rPr>
            </w:pPr>
            <w:bookmarkStart w:id="1" w:name="_30j0zll" w:colFirst="0" w:colLast="0"/>
            <w:bookmarkEnd w:id="1"/>
            <w:proofErr w:type="spellStart"/>
            <w:proofErr w:type="gramStart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highlight w:val="white"/>
              </w:rPr>
              <w:t>adresa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highlight w:val="white"/>
              </w:rPr>
              <w:t>:</w:t>
            </w:r>
          </w:p>
          <w:p w:rsidR="009A0B6B" w:rsidRDefault="00897B3B">
            <w:pPr>
              <w:tabs>
                <w:tab w:val="left" w:pos="1701"/>
              </w:tabs>
              <w:spacing w:before="120"/>
              <w:ind w:right="121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A0B6B" w:rsidRDefault="00897B3B">
            <w:pPr>
              <w:tabs>
                <w:tab w:val="left" w:pos="1701"/>
              </w:tabs>
              <w:spacing w:before="120"/>
              <w:ind w:righ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DIČ:                       </w:t>
            </w:r>
          </w:p>
          <w:p w:rsidR="009A0B6B" w:rsidRDefault="00897B3B" w:rsidP="00901D74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 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     </w:t>
            </w:r>
          </w:p>
          <w:p w:rsidR="009A0B6B" w:rsidRDefault="00897B3B" w:rsidP="00901D74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A0B6B" w:rsidRDefault="00897B3B" w:rsidP="00901D74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A0B6B" w:rsidRDefault="009A0B6B">
            <w:pPr>
              <w:tabs>
                <w:tab w:val="left" w:pos="1701"/>
              </w:tabs>
              <w:ind w:left="1700" w:right="121"/>
              <w:rPr>
                <w:rFonts w:ascii="Arial" w:eastAsia="Arial" w:hAnsi="Arial" w:cs="Arial"/>
                <w:sz w:val="20"/>
                <w:szCs w:val="20"/>
              </w:rPr>
            </w:pPr>
          </w:p>
          <w:p w:rsidR="009A0B6B" w:rsidRDefault="00897B3B" w:rsidP="00901D74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Zákazník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</w:tc>
      </w:tr>
    </w:tbl>
    <w:p w:rsidR="009A0B6B" w:rsidRDefault="009A0B6B">
      <w:pPr>
        <w:widowControl w:val="0"/>
        <w:rPr>
          <w:rFonts w:ascii="Arial" w:eastAsia="Arial" w:hAnsi="Arial" w:cs="Arial"/>
        </w:rPr>
      </w:pPr>
    </w:p>
    <w:p w:rsidR="009A0B6B" w:rsidRDefault="009A0B6B">
      <w:pPr>
        <w:spacing w:before="120" w:after="120"/>
        <w:ind w:right="3969"/>
        <w:rPr>
          <w:rFonts w:ascii="Arial" w:eastAsia="Arial" w:hAnsi="Arial" w:cs="Arial"/>
          <w:color w:val="00000A"/>
          <w:sz w:val="22"/>
          <w:szCs w:val="22"/>
        </w:rPr>
      </w:pPr>
    </w:p>
    <w:p w:rsidR="009A0B6B" w:rsidRDefault="00897B3B">
      <w:pPr>
        <w:spacing w:before="120" w:after="120"/>
        <w:jc w:val="center"/>
        <w:rPr>
          <w:rFonts w:ascii="Arial" w:eastAsia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uzavírají</w:t>
      </w:r>
      <w:proofErr w:type="spellEnd"/>
      <w:proofErr w:type="gramEnd"/>
    </w:p>
    <w:p w:rsidR="009A0B6B" w:rsidRDefault="00897B3B">
      <w:pPr>
        <w:spacing w:after="200" w:line="276" w:lineRule="auto"/>
        <w:rPr>
          <w:rFonts w:ascii="Arial" w:eastAsia="Arial" w:hAnsi="Arial" w:cs="Arial"/>
          <w:sz w:val="36"/>
          <w:szCs w:val="36"/>
          <w:highlight w:val="white"/>
        </w:rPr>
      </w:pPr>
      <w:bookmarkStart w:id="2" w:name="_3znysh7" w:colFirst="0" w:colLast="0"/>
      <w:bookmarkEnd w:id="2"/>
      <w:proofErr w:type="spellStart"/>
      <w:proofErr w:type="gramStart"/>
      <w:r>
        <w:rPr>
          <w:rFonts w:ascii="Arial" w:eastAsia="Arial" w:hAnsi="Arial" w:cs="Arial"/>
          <w:sz w:val="36"/>
          <w:szCs w:val="36"/>
        </w:rPr>
        <w:t>smlouvu</w:t>
      </w:r>
      <w:proofErr w:type="spellEnd"/>
      <w:proofErr w:type="gramEnd"/>
      <w:r>
        <w:rPr>
          <w:rFonts w:ascii="Arial" w:eastAsia="Arial" w:hAnsi="Arial" w:cs="Arial"/>
          <w:sz w:val="36"/>
          <w:szCs w:val="36"/>
        </w:rPr>
        <w:t xml:space="preserve"> o </w:t>
      </w:r>
      <w:proofErr w:type="spellStart"/>
      <w:r>
        <w:rPr>
          <w:rFonts w:ascii="Arial" w:eastAsia="Arial" w:hAnsi="Arial" w:cs="Arial"/>
          <w:sz w:val="36"/>
          <w:szCs w:val="36"/>
        </w:rPr>
        <w:t>poskytnutí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služby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GoSMS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 č.</w:t>
      </w:r>
    </w:p>
    <w:p w:rsidR="009A0B6B" w:rsidRDefault="00897B3B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která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ukončuje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-</w:t>
      </w: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</w:rPr>
        <w:t>Předmět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smlouvy</w:t>
      </w:r>
      <w:proofErr w:type="spellEnd"/>
    </w:p>
    <w:p w:rsidR="009A0B6B" w:rsidRDefault="00897B3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1.1.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v </w:t>
      </w:r>
      <w:proofErr w:type="spellStart"/>
      <w:r>
        <w:rPr>
          <w:rFonts w:ascii="Arial" w:eastAsia="Arial" w:hAnsi="Arial" w:cs="Arial"/>
          <w:sz w:val="20"/>
          <w:szCs w:val="20"/>
        </w:rPr>
        <w:t>aktuálně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všeobecných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Ceník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a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Reklamační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tvoří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nedílnou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součást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dostupné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internetových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stránkách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www.gosms.cz.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poskytnuté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souladu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Ceníkem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Podmínkami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mohou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sjednány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platební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.). </w:t>
      </w:r>
    </w:p>
    <w:p w:rsidR="009A0B6B" w:rsidRDefault="00897B3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1.2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Reklamačního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účinným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9A0B6B" w:rsidRDefault="009A0B6B">
      <w:pPr>
        <w:spacing w:before="120" w:after="120"/>
        <w:jc w:val="both"/>
        <w:rPr>
          <w:rFonts w:ascii="Arial" w:eastAsia="Arial" w:hAnsi="Arial" w:cs="Arial"/>
          <w:sz w:val="16"/>
          <w:szCs w:val="16"/>
        </w:rPr>
      </w:pPr>
    </w:p>
    <w:p w:rsidR="009A0B6B" w:rsidRDefault="00897B3B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</w:t>
      </w:r>
      <w:proofErr w:type="spellStart"/>
      <w:r>
        <w:rPr>
          <w:rFonts w:ascii="Arial" w:eastAsia="Arial" w:hAnsi="Arial" w:cs="Arial"/>
          <w:b/>
        </w:rPr>
        <w:t>Specifikace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GoSMS</w:t>
      </w:r>
      <w:proofErr w:type="spellEnd"/>
    </w:p>
    <w:p w:rsidR="009A0B6B" w:rsidRDefault="00897B3B">
      <w:pPr>
        <w:spacing w:before="120"/>
        <w:ind w:left="283" w:hanging="141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2.1. </w:t>
      </w:r>
      <w:proofErr w:type="spellStart"/>
      <w:r>
        <w:rPr>
          <w:rFonts w:ascii="Arial" w:eastAsia="Arial" w:hAnsi="Arial" w:cs="Arial"/>
          <w:sz w:val="20"/>
          <w:szCs w:val="20"/>
        </w:rPr>
        <w:t>Služba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slouží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sz w:val="20"/>
          <w:szCs w:val="20"/>
        </w:rPr>
        <w:t>hromadnému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informačních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Prostřednictvím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rozesílat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 </w:t>
      </w:r>
      <w:proofErr w:type="spellStart"/>
      <w:r>
        <w:rPr>
          <w:rFonts w:ascii="Arial" w:eastAsia="Arial" w:hAnsi="Arial" w:cs="Arial"/>
          <w:sz w:val="20"/>
          <w:szCs w:val="20"/>
        </w:rPr>
        <w:t>informační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občanů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zaměstnanců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jakékoliv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události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nadálé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notifikační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objednávek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zasílání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přihlašovacích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údajů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informace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doručení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zboží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řada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marketingové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propagace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soutěžní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zapojení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klient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interakce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značkou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neodpovídá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obsah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charakter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 </w:t>
      </w:r>
    </w:p>
    <w:p w:rsidR="009A0B6B" w:rsidRDefault="00897B3B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vymezeném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</w:t>
      </w:r>
      <w:r>
        <w:rPr>
          <w:rFonts w:ascii="Arial" w:eastAsia="Arial" w:hAnsi="Arial" w:cs="Arial"/>
          <w:sz w:val="20"/>
          <w:szCs w:val="20"/>
        </w:rPr>
        <w:t>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případných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souvisejících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ustanovení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</w:t>
      </w:r>
      <w:r>
        <w:rPr>
          <w:rFonts w:ascii="Arial" w:eastAsia="Arial" w:hAnsi="Arial" w:cs="Arial"/>
          <w:sz w:val="20"/>
          <w:szCs w:val="20"/>
        </w:rPr>
        <w:t>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9A0B6B" w:rsidRDefault="009A0B6B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proofErr w:type="spellStart"/>
      <w:r>
        <w:rPr>
          <w:rFonts w:ascii="Arial" w:eastAsia="Arial" w:hAnsi="Arial" w:cs="Arial"/>
          <w:b/>
        </w:rPr>
        <w:t>Ceník</w:t>
      </w:r>
      <w:proofErr w:type="spellEnd"/>
      <w:r>
        <w:rPr>
          <w:rFonts w:ascii="Arial" w:eastAsia="Arial" w:hAnsi="Arial" w:cs="Arial"/>
          <w:b/>
        </w:rPr>
        <w:t xml:space="preserve"> SMS</w:t>
      </w:r>
    </w:p>
    <w:p w:rsidR="009A0B6B" w:rsidRDefault="00897B3B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Ceník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 je </w:t>
      </w:r>
      <w:proofErr w:type="spellStart"/>
      <w:r>
        <w:rPr>
          <w:rFonts w:ascii="Arial" w:eastAsia="Arial" w:hAnsi="Arial" w:cs="Arial"/>
          <w:sz w:val="20"/>
          <w:szCs w:val="20"/>
        </w:rPr>
        <w:t>součástí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přílohy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poskytnutí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A0B6B" w:rsidRDefault="00897B3B">
      <w:pPr>
        <w:keepNext/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</w:t>
      </w:r>
      <w:proofErr w:type="spellStart"/>
      <w:r>
        <w:rPr>
          <w:rFonts w:ascii="Arial" w:eastAsia="Arial" w:hAnsi="Arial" w:cs="Arial"/>
          <w:b/>
        </w:rPr>
        <w:t>Další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0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678"/>
        <w:gridCol w:w="2160"/>
        <w:gridCol w:w="1652"/>
        <w:gridCol w:w="1652"/>
        <w:gridCol w:w="1499"/>
      </w:tblGrid>
      <w:tr w:rsidR="009A0B6B">
        <w:trPr>
          <w:trHeight w:val="460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4.1.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UNIKÁTNÍ NÁZEV ODESÍLATELE/VLASTNÍ TELEFONNÍ ČÍSLO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ZEMĚ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AKTIVACE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MĚSÍČNÍ POPLATEK</w:t>
            </w:r>
          </w:p>
        </w:tc>
      </w:tr>
      <w:tr w:rsidR="009A0B6B">
        <w:trPr>
          <w:trHeight w:val="420"/>
          <w:jc w:val="center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A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ind w:left="141"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nikátní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A0B6B" w:rsidRDefault="00897B3B">
            <w:pPr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01D74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Slovensko</w:t>
            </w:r>
            <w:proofErr w:type="spellEnd"/>
            <w:r w:rsidR="00897B3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A0B6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A0B6B" w:rsidRDefault="00901D74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13,56 Euro</w:t>
            </w:r>
          </w:p>
          <w:p w:rsidR="009A0B6B" w:rsidRDefault="00897B3B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A0B6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A0B6B" w:rsidRDefault="00901D74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3,80 Euro</w:t>
            </w:r>
          </w:p>
          <w:p w:rsidR="009A0B6B" w:rsidRDefault="009A0B6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A0B6B" w:rsidRDefault="009A0B6B">
      <w:pPr>
        <w:keepNext/>
        <w:tabs>
          <w:tab w:val="left" w:pos="644"/>
        </w:tabs>
        <w:spacing w:before="360" w:after="120" w:line="276" w:lineRule="auto"/>
        <w:rPr>
          <w:rFonts w:ascii="Arial" w:eastAsia="Arial" w:hAnsi="Arial" w:cs="Arial"/>
        </w:rPr>
      </w:pPr>
    </w:p>
    <w:tbl>
      <w:tblPr>
        <w:tblStyle w:val="a1"/>
        <w:tblW w:w="91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80"/>
        <w:gridCol w:w="2550"/>
        <w:gridCol w:w="4080"/>
      </w:tblGrid>
      <w:tr w:rsidR="009A0B6B">
        <w:trPr>
          <w:trHeight w:val="46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4.2.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OPT-OUT ODHLÁŠENÍ Z SMS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MĚSÍČNÍ POPLATEK</w:t>
            </w:r>
          </w:p>
        </w:tc>
      </w:tr>
      <w:tr w:rsidR="009A0B6B">
        <w:trPr>
          <w:trHeight w:val="420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A0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ind w:left="141"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Aktivovat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opt-out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odhlášení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z SMS: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ind w:firstLine="425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01D74">
            <w:pPr>
              <w:keepNext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7,60 Euro</w:t>
            </w:r>
          </w:p>
        </w:tc>
      </w:tr>
    </w:tbl>
    <w:p w:rsidR="009A0B6B" w:rsidRDefault="009A0B6B">
      <w:pPr>
        <w:spacing w:before="120" w:after="120"/>
        <w:ind w:left="283" w:hanging="141"/>
        <w:rPr>
          <w:rFonts w:ascii="Arial" w:eastAsia="Arial" w:hAnsi="Arial" w:cs="Arial"/>
          <w:b/>
          <w:color w:val="7F7F7F"/>
          <w:sz w:val="16"/>
          <w:szCs w:val="16"/>
        </w:rPr>
      </w:pPr>
    </w:p>
    <w:p w:rsidR="009A0B6B" w:rsidRDefault="00897B3B">
      <w:pPr>
        <w:spacing w:before="120" w:after="120"/>
        <w:ind w:left="283" w:hanging="141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bez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Celková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cena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2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305"/>
        <w:gridCol w:w="2115"/>
        <w:gridCol w:w="1905"/>
      </w:tblGrid>
      <w:tr w:rsidR="009A0B6B">
        <w:trPr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9A0B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BEZ DPH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S DPH</w:t>
            </w:r>
          </w:p>
        </w:tc>
      </w:tr>
      <w:tr w:rsidR="009A0B6B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901D7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Euro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901D7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Euro</w:t>
            </w:r>
          </w:p>
        </w:tc>
      </w:tr>
      <w:tr w:rsidR="009A0B6B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jednorázová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901D7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Euro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901D7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Euro</w:t>
            </w:r>
            <w:bookmarkStart w:id="3" w:name="_GoBack"/>
            <w:bookmarkEnd w:id="3"/>
          </w:p>
        </w:tc>
      </w:tr>
      <w:tr w:rsidR="009A0B6B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.3.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odeslané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</w:tr>
    </w:tbl>
    <w:p w:rsidR="009A0B6B" w:rsidRDefault="009A0B6B">
      <w:pPr>
        <w:spacing w:before="120" w:after="120"/>
        <w:ind w:left="5040"/>
        <w:rPr>
          <w:rFonts w:ascii="Arial" w:eastAsia="Arial" w:hAnsi="Arial" w:cs="Arial"/>
          <w:color w:val="7F7F7F"/>
          <w:sz w:val="16"/>
          <w:szCs w:val="16"/>
        </w:rPr>
      </w:pPr>
    </w:p>
    <w:p w:rsidR="009A0B6B" w:rsidRDefault="00897B3B">
      <w:pPr>
        <w:spacing w:before="120" w:after="120"/>
        <w:rPr>
          <w:rFonts w:ascii="Arial" w:eastAsia="Arial" w:hAnsi="Arial" w:cs="Arial"/>
          <w:i/>
          <w:color w:val="7F7F7F"/>
          <w:sz w:val="16"/>
          <w:szCs w:val="16"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bez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9A0B6B" w:rsidRDefault="009A0B6B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</w:p>
    <w:p w:rsidR="009A0B6B" w:rsidRDefault="009A0B6B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</w:p>
    <w:p w:rsidR="009A0B6B" w:rsidRDefault="009A0B6B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Přihlašovací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údaje</w:t>
      </w:r>
      <w:proofErr w:type="spellEnd"/>
      <w:r>
        <w:rPr>
          <w:rFonts w:ascii="Arial" w:eastAsia="Arial" w:hAnsi="Arial" w:cs="Arial"/>
          <w:b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</w:rPr>
        <w:t>samoobsluha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3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905"/>
        <w:gridCol w:w="3495"/>
      </w:tblGrid>
      <w:tr w:rsidR="009A0B6B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B6B" w:rsidRDefault="00897B3B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A0B6B" w:rsidRDefault="00897B3B">
            <w:pPr>
              <w:keepNext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Uživatelské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jméno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B6B" w:rsidRDefault="009A0B6B">
            <w:pPr>
              <w:keepNext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A0B6B" w:rsidRDefault="009A0B6B">
      <w:pPr>
        <w:spacing w:before="120" w:after="120"/>
        <w:ind w:left="5040"/>
        <w:rPr>
          <w:rFonts w:ascii="Arial" w:eastAsia="Arial" w:hAnsi="Arial" w:cs="Arial"/>
          <w:b/>
        </w:rPr>
      </w:pP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 xml:space="preserve">7. </w:t>
      </w:r>
      <w:proofErr w:type="spellStart"/>
      <w:r>
        <w:rPr>
          <w:rFonts w:ascii="Arial" w:eastAsia="Arial" w:hAnsi="Arial" w:cs="Arial"/>
          <w:b/>
        </w:rPr>
        <w:t>Způsob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fakturace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</w:p>
    <w:p w:rsidR="009A0B6B" w:rsidRDefault="00897B3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7.1. </w:t>
      </w:r>
      <w:proofErr w:type="spellStart"/>
      <w:r>
        <w:rPr>
          <w:rFonts w:ascii="Arial" w:eastAsia="Arial" w:hAnsi="Arial" w:cs="Arial"/>
          <w:sz w:val="20"/>
          <w:szCs w:val="20"/>
        </w:rPr>
        <w:t>Vyberte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způsobů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9A0B6B" w:rsidRDefault="00897B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A0B6B" w:rsidRDefault="00897B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sz w:val="20"/>
          <w:szCs w:val="20"/>
        </w:rPr>
        <w:t>x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eastAsia="Arial" w:hAnsi="Arial" w:cs="Arial"/>
          <w:sz w:val="20"/>
          <w:szCs w:val="20"/>
        </w:rPr>
        <w:t>Elektronická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e-mail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formátu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PDF (</w:t>
      </w:r>
      <w:proofErr w:type="spellStart"/>
      <w:r>
        <w:rPr>
          <w:rFonts w:ascii="Arial" w:eastAsia="Arial" w:hAnsi="Arial" w:cs="Arial"/>
          <w:sz w:val="20"/>
          <w:szCs w:val="20"/>
        </w:rPr>
        <w:t>zdarma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9A0B6B" w:rsidRDefault="00897B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</w:p>
    <w:p w:rsidR="009A0B6B" w:rsidRDefault="009A0B6B">
      <w:pPr>
        <w:rPr>
          <w:rFonts w:ascii="Arial" w:eastAsia="Arial" w:hAnsi="Arial" w:cs="Arial"/>
          <w:sz w:val="20"/>
          <w:szCs w:val="20"/>
        </w:rPr>
      </w:pP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</w:rPr>
        <w:t>Ostatní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ujednání</w:t>
      </w:r>
      <w:proofErr w:type="spellEnd"/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zaplacením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požadovat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zaplacení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</w:t>
      </w:r>
      <w:proofErr w:type="gramStart"/>
      <w:r>
        <w:rPr>
          <w:rFonts w:ascii="Arial" w:eastAsia="Arial" w:hAnsi="Arial" w:cs="Arial"/>
          <w:sz w:val="20"/>
          <w:szCs w:val="20"/>
        </w:rPr>
        <w:t>,05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% z </w:t>
      </w:r>
      <w:proofErr w:type="spellStart"/>
      <w:r>
        <w:rPr>
          <w:rFonts w:ascii="Arial" w:eastAsia="Arial" w:hAnsi="Arial" w:cs="Arial"/>
          <w:sz w:val="20"/>
          <w:szCs w:val="20"/>
        </w:rPr>
        <w:t>dlužné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započatý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taktéž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úhradu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úroku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stanovené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9A0B6B" w:rsidRDefault="009A0B6B">
      <w:pPr>
        <w:jc w:val="both"/>
        <w:rPr>
          <w:rFonts w:ascii="Arial" w:eastAsia="Arial" w:hAnsi="Arial" w:cs="Arial"/>
          <w:sz w:val="20"/>
          <w:szCs w:val="20"/>
        </w:rPr>
      </w:pPr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8.2.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následujících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9A0B6B" w:rsidRDefault="009A0B6B">
      <w:pPr>
        <w:jc w:val="both"/>
        <w:rPr>
          <w:rFonts w:ascii="Arial" w:eastAsia="Arial" w:hAnsi="Arial" w:cs="Arial"/>
          <w:sz w:val="20"/>
          <w:szCs w:val="20"/>
        </w:rPr>
      </w:pPr>
    </w:p>
    <w:p w:rsidR="009A0B6B" w:rsidRDefault="009A0B6B">
      <w:pPr>
        <w:jc w:val="both"/>
        <w:rPr>
          <w:rFonts w:ascii="Arial" w:eastAsia="Arial" w:hAnsi="Arial" w:cs="Arial"/>
          <w:sz w:val="16"/>
          <w:szCs w:val="16"/>
        </w:rPr>
      </w:pPr>
    </w:p>
    <w:p w:rsidR="009A0B6B" w:rsidRDefault="00897B3B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Závěrečná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ustanovení</w:t>
      </w:r>
      <w:proofErr w:type="spellEnd"/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 </w:t>
      </w:r>
      <w:proofErr w:type="spellStart"/>
      <w:r>
        <w:rPr>
          <w:rFonts w:ascii="Arial" w:eastAsia="Arial" w:hAnsi="Arial" w:cs="Arial"/>
          <w:sz w:val="20"/>
          <w:szCs w:val="20"/>
        </w:rPr>
        <w:t>Právní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vztahy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neupravené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 z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vyplývající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sz w:val="20"/>
          <w:szCs w:val="20"/>
        </w:rPr>
        <w:t>řídí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eastAsia="Arial" w:hAnsi="Arial" w:cs="Arial"/>
          <w:sz w:val="20"/>
          <w:szCs w:val="20"/>
        </w:rPr>
        <w:t>občanský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>
        <w:rPr>
          <w:rFonts w:ascii="Arial" w:eastAsia="Arial" w:hAnsi="Arial" w:cs="Arial"/>
          <w:sz w:val="20"/>
          <w:szCs w:val="20"/>
        </w:rPr>
        <w:t>platném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9.2. </w:t>
      </w:r>
      <w:proofErr w:type="spellStart"/>
      <w:r>
        <w:rPr>
          <w:rFonts w:ascii="Arial" w:eastAsia="Arial" w:hAnsi="Arial" w:cs="Arial"/>
          <w:sz w:val="20"/>
          <w:szCs w:val="20"/>
        </w:rPr>
        <w:t>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měnit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vzájemné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to </w:t>
      </w:r>
      <w:proofErr w:type="spellStart"/>
      <w:r>
        <w:rPr>
          <w:rFonts w:ascii="Arial" w:eastAsia="Arial" w:hAnsi="Arial" w:cs="Arial"/>
          <w:sz w:val="20"/>
          <w:szCs w:val="20"/>
        </w:rPr>
        <w:t>výlučn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vzestupně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číslovaných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dodatků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listinné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podobě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9.3.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nabývá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oběma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sz w:val="20"/>
          <w:szCs w:val="20"/>
        </w:rPr>
        <w:t>vyhotovena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platností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originálu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9A0B6B" w:rsidRDefault="00897B3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9.4.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měl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dotázat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Posk</w:t>
      </w:r>
      <w:r>
        <w:rPr>
          <w:rFonts w:ascii="Arial" w:eastAsia="Arial" w:hAnsi="Arial" w:cs="Arial"/>
          <w:sz w:val="20"/>
          <w:szCs w:val="20"/>
        </w:rPr>
        <w:t>ytovatele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jakéhokoliv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9A0B6B" w:rsidRDefault="00897B3B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9.5.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přečetl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důkaz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svého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podepisují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0B6B" w:rsidRDefault="009A0B6B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</w:p>
    <w:p w:rsidR="009A0B6B" w:rsidRDefault="00897B3B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V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A0B6B" w:rsidRDefault="00897B3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color w:val="000000"/>
          <w:sz w:val="16"/>
          <w:szCs w:val="16"/>
        </w:rPr>
      </w:pPr>
      <w:bookmarkStart w:id="4" w:name="_2et92p0" w:colFirst="0" w:colLast="0"/>
      <w:bookmarkEnd w:id="4"/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9A0B6B" w:rsidRDefault="009A0B6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5" w:name="_182musgo3022" w:colFirst="0" w:colLast="0"/>
      <w:bookmarkEnd w:id="5"/>
    </w:p>
    <w:p w:rsidR="009A0B6B" w:rsidRDefault="009A0B6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6" w:name="_79zembnmms1q" w:colFirst="0" w:colLast="0"/>
      <w:bookmarkEnd w:id="6"/>
    </w:p>
    <w:p w:rsidR="009A0B6B" w:rsidRDefault="009A0B6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7" w:name="_erhr9mz2zm49" w:colFirst="0" w:colLast="0"/>
      <w:bookmarkEnd w:id="7"/>
    </w:p>
    <w:p w:rsidR="009A0B6B" w:rsidRDefault="009A0B6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8" w:name="_7ta5d0vuhny9" w:colFirst="0" w:colLast="0"/>
      <w:bookmarkEnd w:id="8"/>
    </w:p>
    <w:p w:rsidR="009A0B6B" w:rsidRDefault="00897B3B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9" w:name="_7cdto8youauh" w:colFirst="0" w:colLast="0"/>
      <w:bookmarkEnd w:id="9"/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9A0B6B" w:rsidRDefault="00897B3B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Zoo</w:t>
      </w:r>
      <w:r>
        <w:rPr>
          <w:rFonts w:ascii="Arial" w:eastAsia="Arial" w:hAnsi="Arial" w:cs="Arial"/>
          <w:b/>
          <w:sz w:val="16"/>
          <w:szCs w:val="16"/>
        </w:rPr>
        <w:t>C</w:t>
      </w:r>
      <w:r>
        <w:rPr>
          <w:rFonts w:ascii="Arial" w:eastAsia="Arial" w:hAnsi="Arial" w:cs="Arial"/>
          <w:b/>
          <w:color w:val="000000"/>
          <w:sz w:val="16"/>
          <w:szCs w:val="16"/>
        </w:rPr>
        <w:t>ontrol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s.r.o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.,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Jiří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Malecha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Zákazník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highlight w:val="white"/>
        </w:rPr>
        <w:t xml:space="preserve">                        </w:t>
      </w:r>
      <w:r>
        <w:rPr>
          <w:rFonts w:ascii="Arial" w:eastAsia="Arial" w:hAnsi="Arial" w:cs="Arial"/>
          <w:sz w:val="16"/>
          <w:szCs w:val="16"/>
          <w:highlight w:val="white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9A0B6B" w:rsidRDefault="00897B3B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</w:t>
      </w:r>
    </w:p>
    <w:p w:rsidR="009A0B6B" w:rsidRDefault="00897B3B">
      <w:pPr>
        <w:tabs>
          <w:tab w:val="center" w:pos="1985"/>
          <w:tab w:val="center" w:pos="7088"/>
        </w:tabs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</w:t>
      </w:r>
      <w:r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Poskytovatel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                              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i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Zákazník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:rsidR="009A0B6B" w:rsidRDefault="00897B3B">
      <w:pPr>
        <w:tabs>
          <w:tab w:val="center" w:pos="1985"/>
          <w:tab w:val="center" w:pos="708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          </w:t>
      </w:r>
    </w:p>
    <w:sectPr w:rsidR="009A0B6B">
      <w:headerReference w:type="default" r:id="rId8"/>
      <w:footerReference w:type="default" r:id="rId9"/>
      <w:pgSz w:w="11900" w:h="16840"/>
      <w:pgMar w:top="1418" w:right="1417" w:bottom="127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3B" w:rsidRDefault="00897B3B">
      <w:r>
        <w:separator/>
      </w:r>
    </w:p>
  </w:endnote>
  <w:endnote w:type="continuationSeparator" w:id="0">
    <w:p w:rsidR="00897B3B" w:rsidRDefault="008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6B" w:rsidRDefault="00897B3B">
    <w:pPr>
      <w:tabs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8"/>
        <w:szCs w:val="18"/>
      </w:rPr>
      <w:t>GoSMS</w:t>
    </w:r>
    <w:proofErr w:type="spellEnd"/>
    <w:r>
      <w:rPr>
        <w:rFonts w:ascii="Calibri" w:eastAsia="Calibri" w:hAnsi="Calibri" w:cs="Calibri"/>
        <w:color w:val="808080"/>
        <w:sz w:val="18"/>
        <w:szCs w:val="18"/>
      </w:rPr>
      <w:t xml:space="preserve"> | www.gosms.cz | podpora@gosms.cz</w:t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20"/>
        <w:szCs w:val="20"/>
      </w:rPr>
      <w:fldChar w:fldCharType="begin"/>
    </w:r>
    <w:r>
      <w:rPr>
        <w:rFonts w:ascii="Calibri" w:eastAsia="Calibri" w:hAnsi="Calibri" w:cs="Calibri"/>
        <w:color w:val="808080"/>
        <w:sz w:val="20"/>
        <w:szCs w:val="20"/>
      </w:rPr>
      <w:instrText>PAGE</w:instrText>
    </w:r>
    <w:r w:rsidR="00901D74">
      <w:rPr>
        <w:rFonts w:ascii="Calibri" w:eastAsia="Calibri" w:hAnsi="Calibri" w:cs="Calibri"/>
        <w:color w:val="808080"/>
        <w:sz w:val="20"/>
        <w:szCs w:val="20"/>
      </w:rPr>
      <w:fldChar w:fldCharType="separate"/>
    </w:r>
    <w:r w:rsidR="00901D74">
      <w:rPr>
        <w:rFonts w:ascii="Calibri" w:eastAsia="Calibri" w:hAnsi="Calibri" w:cs="Calibri"/>
        <w:noProof/>
        <w:color w:val="808080"/>
        <w:sz w:val="20"/>
        <w:szCs w:val="20"/>
      </w:rPr>
      <w:t>3</w:t>
    </w:r>
    <w:r>
      <w:rPr>
        <w:rFonts w:ascii="Calibri" w:eastAsia="Calibri" w:hAnsi="Calibri" w:cs="Calibri"/>
        <w:color w:val="808080"/>
        <w:sz w:val="20"/>
        <w:szCs w:val="20"/>
      </w:rPr>
      <w:fldChar w:fldCharType="end"/>
    </w:r>
  </w:p>
  <w:p w:rsidR="009A0B6B" w:rsidRDefault="00897B3B">
    <w:pPr>
      <w:tabs>
        <w:tab w:val="center" w:pos="7938"/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</w:p>
  <w:p w:rsidR="009A0B6B" w:rsidRDefault="009A0B6B">
    <w:pPr>
      <w:tabs>
        <w:tab w:val="right" w:pos="9046"/>
      </w:tabs>
      <w:spacing w:after="14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3B" w:rsidRDefault="00897B3B">
      <w:r>
        <w:separator/>
      </w:r>
    </w:p>
  </w:footnote>
  <w:footnote w:type="continuationSeparator" w:id="0">
    <w:p w:rsidR="00897B3B" w:rsidRDefault="0089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6B" w:rsidRDefault="00897B3B">
    <w:pPr>
      <w:tabs>
        <w:tab w:val="left" w:pos="2404"/>
        <w:tab w:val="right" w:pos="9046"/>
      </w:tabs>
      <w:spacing w:before="546"/>
      <w:ind w:right="-406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FFFFFF"/>
      </w:rPr>
      <w:tab/>
    </w:r>
    <w:r>
      <w:rPr>
        <w:rFonts w:ascii="Arial" w:eastAsia="Arial" w:hAnsi="Arial" w:cs="Arial"/>
        <w:color w:val="FFFFFF"/>
      </w:rPr>
      <w:tab/>
      <w:t xml:space="preserve">   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Smlouva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o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poskytnutí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služby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GoSMS</w:t>
    </w:r>
    <w:proofErr w:type="spellEnd"/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-311147</wp:posOffset>
          </wp:positionH>
          <wp:positionV relativeFrom="paragraph">
            <wp:posOffset>333374</wp:posOffset>
          </wp:positionV>
          <wp:extent cx="941706" cy="2019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6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0B6B"/>
    <w:rsid w:val="00897B3B"/>
    <w:rsid w:val="00901D74"/>
    <w:rsid w:val="009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jc w:val="center"/>
      <w:outlineLvl w:val="0"/>
    </w:pPr>
    <w:rPr>
      <w:rFonts w:ascii="Calibri" w:eastAsia="Calibri" w:hAnsi="Calibri" w:cs="Calibri"/>
      <w:b/>
      <w:color w:val="FFFFFF"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jc w:val="center"/>
      <w:outlineLvl w:val="0"/>
    </w:pPr>
    <w:rPr>
      <w:rFonts w:ascii="Calibri" w:eastAsia="Calibri" w:hAnsi="Calibri" w:cs="Calibri"/>
      <w:b/>
      <w:color w:val="FFFFFF"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pora@gosm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Smolová</cp:lastModifiedBy>
  <cp:revision>2</cp:revision>
  <dcterms:created xsi:type="dcterms:W3CDTF">2024-02-13T13:07:00Z</dcterms:created>
  <dcterms:modified xsi:type="dcterms:W3CDTF">2024-02-13T13:12:00Z</dcterms:modified>
</cp:coreProperties>
</file>